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68AFF" w14:textId="77777777" w:rsidR="00090015" w:rsidRPr="00D80FEF" w:rsidRDefault="00090015" w:rsidP="009749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ДОНЕЦЬКИЙ НАЦІОНАЛЬНИЙ МЕДИЧНИЙ УНІВЕРСИТЕТ</w:t>
      </w:r>
    </w:p>
    <w:p w14:paraId="64B904B6" w14:textId="77777777" w:rsidR="00090015" w:rsidRPr="00D80FEF" w:rsidRDefault="00090015" w:rsidP="009749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/>
          <w:bCs/>
          <w:caps/>
          <w:sz w:val="24"/>
          <w:szCs w:val="24"/>
        </w:rPr>
        <w:t>Дисципліна</w:t>
      </w:r>
      <w:r w:rsidRPr="00D80FEF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 xml:space="preserve"> </w:t>
      </w:r>
      <w:r w:rsidRPr="00D80FEF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«</w:t>
      </w:r>
      <w:r w:rsidRPr="00D80FEF">
        <w:rPr>
          <w:rFonts w:ascii="Times New Roman" w:hAnsi="Times New Roman" w:cs="Times New Roman"/>
          <w:b/>
          <w:bCs/>
          <w:caps/>
          <w:sz w:val="24"/>
          <w:szCs w:val="24"/>
        </w:rPr>
        <w:t>Внутрішня</w:t>
      </w:r>
      <w:r w:rsidRPr="00D80FEF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 </w:t>
      </w:r>
      <w:r w:rsidRPr="00D80FEF">
        <w:rPr>
          <w:rFonts w:ascii="Times New Roman" w:hAnsi="Times New Roman" w:cs="Times New Roman"/>
          <w:b/>
          <w:bCs/>
          <w:caps/>
          <w:sz w:val="24"/>
          <w:szCs w:val="24"/>
        </w:rPr>
        <w:t>медицина</w:t>
      </w:r>
      <w:r w:rsidRPr="00D80FEF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»</w:t>
      </w:r>
    </w:p>
    <w:p w14:paraId="69A4DF13" w14:textId="77777777" w:rsidR="00ED634C" w:rsidRPr="00D80FEF" w:rsidRDefault="00ED634C" w:rsidP="009749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8B96112" w14:textId="7785F8C0" w:rsidR="004F7A8D" w:rsidRPr="00D80FEF" w:rsidRDefault="00090015" w:rsidP="009749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ПЕРЕЛІК ПРАКТИЧНИХ НАВИЧОК</w:t>
      </w:r>
    </w:p>
    <w:p w14:paraId="3134BB07" w14:textId="77777777" w:rsidR="009749B6" w:rsidRPr="00D80FEF" w:rsidRDefault="009749B6" w:rsidP="009749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71559F9" w14:textId="03DA5FF6" w:rsidR="00090015" w:rsidRPr="00D80FEF" w:rsidRDefault="009749B6" w:rsidP="00ED634C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sz w:val="24"/>
          <w:szCs w:val="24"/>
          <w:lang w:val="uk-UA"/>
        </w:rPr>
        <w:t>1. В</w:t>
      </w:r>
      <w:r w:rsidR="00ED634C" w:rsidRPr="00D80FEF">
        <w:rPr>
          <w:rFonts w:ascii="Times New Roman" w:hAnsi="Times New Roman" w:cs="Times New Roman"/>
          <w:sz w:val="24"/>
          <w:szCs w:val="24"/>
          <w:lang w:val="uk-UA"/>
        </w:rPr>
        <w:t>имірювання артеріального тиску</w:t>
      </w:r>
    </w:p>
    <w:p w14:paraId="3C55D4AD" w14:textId="328340AB" w:rsidR="009749B6" w:rsidRPr="00D80FEF" w:rsidRDefault="009749B6" w:rsidP="00ED634C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sz w:val="24"/>
          <w:szCs w:val="24"/>
          <w:lang w:val="uk-UA"/>
        </w:rPr>
        <w:t>2. Р</w:t>
      </w:r>
      <w:r w:rsidR="00ED634C" w:rsidRPr="00D80FEF">
        <w:rPr>
          <w:rFonts w:ascii="Times New Roman" w:hAnsi="Times New Roman" w:cs="Times New Roman"/>
          <w:sz w:val="24"/>
          <w:szCs w:val="24"/>
          <w:lang w:val="uk-UA"/>
        </w:rPr>
        <w:t>еєстрація</w:t>
      </w:r>
      <w:r w:rsidRPr="00D80FEF">
        <w:rPr>
          <w:rFonts w:ascii="Times New Roman" w:hAnsi="Times New Roman" w:cs="Times New Roman"/>
          <w:sz w:val="24"/>
          <w:szCs w:val="24"/>
          <w:lang w:val="uk-UA"/>
        </w:rPr>
        <w:t xml:space="preserve"> ЕКГ</w:t>
      </w:r>
    </w:p>
    <w:p w14:paraId="1412B17A" w14:textId="7E8B773B" w:rsidR="009749B6" w:rsidRPr="00D80FEF" w:rsidRDefault="009749B6" w:rsidP="00ED634C">
      <w:pPr>
        <w:pStyle w:val="a3"/>
        <w:tabs>
          <w:tab w:val="left" w:pos="142"/>
        </w:tabs>
        <w:spacing w:line="276" w:lineRule="auto"/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ослідження пульсу</w:t>
      </w:r>
    </w:p>
    <w:p w14:paraId="05E1E24D" w14:textId="4D64F16C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альпаторне дослідження верхівкового поштовху</w:t>
      </w:r>
    </w:p>
    <w:p w14:paraId="1427D9D6" w14:textId="60AF5F94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изначення меж відносної та абсолютної тупості серця</w:t>
      </w:r>
    </w:p>
    <w:p w14:paraId="1E2934B9" w14:textId="6D5D523F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6.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ускультація серця</w:t>
      </w:r>
    </w:p>
    <w:p w14:paraId="4B44870E" w14:textId="361DB1F0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7.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орівняльна перкусія легень</w:t>
      </w:r>
    </w:p>
    <w:p w14:paraId="1EAF5DD8" w14:textId="30DB7A97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ускультація легень</w:t>
      </w:r>
    </w:p>
    <w:p w14:paraId="313059CB" w14:textId="241616A9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альпація щитоподібної залози</w:t>
      </w:r>
    </w:p>
    <w:p w14:paraId="0A04D8E7" w14:textId="30EB8061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eastAsiaTheme="minorHAnsi" w:hAnsi="Times New Roman" w:cs="Times New Roman"/>
          <w:bCs/>
          <w:sz w:val="24"/>
          <w:szCs w:val="24"/>
          <w:lang w:val="ru-UA" w:eastAsia="en-US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10. </w:t>
      </w:r>
      <w:r w:rsidRPr="00D80FEF">
        <w:rPr>
          <w:rFonts w:ascii="Times New Roman" w:eastAsiaTheme="minorHAnsi" w:hAnsi="Times New Roman" w:cs="Times New Roman"/>
          <w:bCs/>
          <w:sz w:val="24"/>
          <w:szCs w:val="24"/>
          <w:lang w:val="ru-UA" w:eastAsia="en-US"/>
        </w:rPr>
        <w:t>Поверхнева пальпація живота</w:t>
      </w:r>
    </w:p>
    <w:p w14:paraId="55A8DCDB" w14:textId="71D73214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 xml:space="preserve">11.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Г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либока ковзна пальпація сигмоподібної </w:t>
      </w:r>
      <w:r w:rsidR="00533AF7"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сліпої </w:t>
      </w:r>
      <w:r w:rsidR="00CA53FE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кишки</w:t>
      </w:r>
    </w:p>
    <w:p w14:paraId="720DB9CC" w14:textId="3E4315B2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12. </w:t>
      </w:r>
      <w:r w:rsidR="00533AF7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Глибока ковзна пальпація печінки та селезінки</w:t>
      </w:r>
    </w:p>
    <w:p w14:paraId="3F1035AC" w14:textId="0419DEEF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13. </w:t>
      </w:r>
      <w:r w:rsidR="00533AF7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Обстеження периферичних лімфатичних вузлів</w:t>
      </w:r>
    </w:p>
    <w:p w14:paraId="13FABE97" w14:textId="2F107580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14. </w:t>
      </w:r>
      <w:r w:rsidR="00533AF7" w:rsidRPr="00D80FEF">
        <w:rPr>
          <w:rFonts w:ascii="Times New Roman" w:eastAsia="CIDFont+F2" w:hAnsi="Times New Roman" w:cs="Times New Roman"/>
          <w:bCs/>
          <w:color w:val="000000"/>
          <w:sz w:val="24"/>
          <w:szCs w:val="24"/>
          <w:lang w:val="uk-UA" w:eastAsia="en-US"/>
        </w:rPr>
        <w:t>Огляд та пальпація колінних суглобів</w:t>
      </w:r>
    </w:p>
    <w:p w14:paraId="291583D6" w14:textId="328B3670" w:rsidR="00ED634C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15. </w:t>
      </w:r>
      <w:r w:rsidR="00533AF7" w:rsidRPr="00D80FEF">
        <w:rPr>
          <w:rFonts w:ascii="Times New Roman" w:eastAsia="CIDFont+F2" w:hAnsi="Times New Roman" w:cs="Times New Roman"/>
          <w:bCs/>
          <w:color w:val="000000"/>
          <w:sz w:val="24"/>
          <w:szCs w:val="24"/>
          <w:lang w:val="uk-UA" w:eastAsia="en-US"/>
        </w:rPr>
        <w:t xml:space="preserve">Визначення симптомів </w:t>
      </w:r>
      <w:r w:rsidR="00533AF7" w:rsidRPr="00D80FE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UA" w:eastAsia="ru-UA"/>
        </w:rPr>
        <w:t>рухомості різних відділів хребта</w:t>
      </w:r>
    </w:p>
    <w:p w14:paraId="6B3BCAFB" w14:textId="1114C9CA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eastAsia="CIDFont+F2" w:hAnsi="Times New Roman" w:cs="Times New Roman"/>
          <w:bCs/>
          <w:color w:val="000000"/>
          <w:sz w:val="24"/>
          <w:szCs w:val="24"/>
          <w:lang w:val="uk-UA" w:eastAsia="en-US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16. </w:t>
      </w:r>
      <w:r w:rsidR="00533AF7" w:rsidRPr="00D80FEF">
        <w:rPr>
          <w:rFonts w:ascii="Times New Roman" w:eastAsia="CIDFont+F2" w:hAnsi="Times New Roman" w:cs="Times New Roman"/>
          <w:bCs/>
          <w:color w:val="000000"/>
          <w:sz w:val="24"/>
          <w:szCs w:val="24"/>
          <w:lang w:val="uk-UA" w:eastAsia="en-US"/>
        </w:rPr>
        <w:t>Пальпація нирок</w:t>
      </w:r>
    </w:p>
    <w:p w14:paraId="5038D225" w14:textId="5C035E6B" w:rsidR="009749B6" w:rsidRDefault="009749B6" w:rsidP="00ED634C">
      <w:pPr>
        <w:pStyle w:val="a3"/>
        <w:tabs>
          <w:tab w:val="left" w:pos="142"/>
        </w:tabs>
        <w:spacing w:line="276" w:lineRule="auto"/>
        <w:ind w:left="0" w:firstLine="709"/>
        <w:textAlignment w:val="top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14:paraId="09FF3492" w14:textId="77777777" w:rsidR="002B5D23" w:rsidRDefault="002B5D23" w:rsidP="002B5D23">
      <w:pPr>
        <w:pStyle w:val="a4"/>
        <w:spacing w:before="0" w:beforeAutospacing="0" w:after="0" w:afterAutospacing="0"/>
        <w:ind w:firstLine="709"/>
        <w:jc w:val="center"/>
      </w:pPr>
      <w:r>
        <w:rPr>
          <w:b/>
          <w:bCs/>
          <w:smallCaps/>
          <w:color w:val="000000"/>
        </w:rPr>
        <w:t>ІНТЕРПРЕТАЦІЯ ЛАБОРАТОРНИХ ТА ІНСТРУМЕНТАЛЬНИХ МЕТОДІВ ДОСЛІДЖЕННЯ</w:t>
      </w:r>
    </w:p>
    <w:p w14:paraId="1E90876E" w14:textId="77777777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1. Оцінка загального клінічного аналізу крові </w:t>
      </w:r>
    </w:p>
    <w:p w14:paraId="29A837E4" w14:textId="77777777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2. Оцінка загального клінічного аналізу сечі </w:t>
      </w:r>
    </w:p>
    <w:p w14:paraId="3574F0C2" w14:textId="61C188F0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3. Аналіз ЕКГ</w:t>
      </w:r>
      <w:r w:rsidR="00200149">
        <w:rPr>
          <w:color w:val="000000"/>
          <w:lang w:val="uk-UA"/>
        </w:rPr>
        <w:t>, холтерівського моніторування ЕКГ</w:t>
      </w:r>
      <w:bookmarkStart w:id="0" w:name="_GoBack"/>
      <w:bookmarkEnd w:id="0"/>
      <w:r>
        <w:rPr>
          <w:color w:val="000000"/>
        </w:rPr>
        <w:t> </w:t>
      </w:r>
    </w:p>
    <w:p w14:paraId="62450E87" w14:textId="5A2CFCCF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4. Оцінка рентгенограми ОГК</w:t>
      </w:r>
    </w:p>
    <w:p w14:paraId="0E4B38E6" w14:textId="3DD779B8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5. Інтерпр</w:t>
      </w:r>
      <w:r>
        <w:rPr>
          <w:color w:val="000000"/>
          <w:lang w:val="uk-UA"/>
        </w:rPr>
        <w:t>е</w:t>
      </w:r>
      <w:r>
        <w:rPr>
          <w:color w:val="000000"/>
        </w:rPr>
        <w:t>тація спірограми</w:t>
      </w:r>
    </w:p>
    <w:p w14:paraId="76D27996" w14:textId="77777777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6. Аналіз ЕхоКГ</w:t>
      </w:r>
    </w:p>
    <w:p w14:paraId="038F6BE1" w14:textId="3C133DB0" w:rsidR="002B5D23" w:rsidRPr="00622492" w:rsidRDefault="002B5D23" w:rsidP="002B5D23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</w:rPr>
        <w:t>7. Інтерпретація ЕФГДС</w:t>
      </w:r>
      <w:r w:rsidR="00622492">
        <w:rPr>
          <w:color w:val="000000"/>
          <w:lang w:val="uk-UA"/>
        </w:rPr>
        <w:t>, колоноскопії, бронхоскопії</w:t>
      </w:r>
    </w:p>
    <w:p w14:paraId="302A37EF" w14:textId="2D34200A" w:rsidR="002B5D23" w:rsidRPr="00622492" w:rsidRDefault="002B5D23" w:rsidP="002B5D23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</w:rPr>
        <w:t>8. Оцінити біохімічний аналіз крові (трансамінази, білірубін, глюкоза, тощо)</w:t>
      </w:r>
    </w:p>
    <w:p w14:paraId="5EB09135" w14:textId="77777777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9. Оцінити ліпідограму</w:t>
      </w:r>
    </w:p>
    <w:p w14:paraId="36BF7FBD" w14:textId="023998A7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10. Інтерпретувати УЗД органів черевної порожнини (печінки, підшлункової залози, жовчного міхура)</w:t>
      </w:r>
      <w:r>
        <w:rPr>
          <w:color w:val="000000"/>
          <w:lang w:val="uk-UA"/>
        </w:rPr>
        <w:t>, плевральних порожнин, суглобів</w:t>
      </w:r>
      <w:r>
        <w:rPr>
          <w:color w:val="000000"/>
        </w:rPr>
        <w:t> </w:t>
      </w:r>
    </w:p>
    <w:p w14:paraId="6B943532" w14:textId="77777777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11. Інтерпретувати УЗД нирок </w:t>
      </w:r>
    </w:p>
    <w:p w14:paraId="2FC9C091" w14:textId="77777777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12. Лабораторна діагностика системних захворювань сполучної тканини та суглобів</w:t>
      </w:r>
    </w:p>
    <w:p w14:paraId="69ED48D3" w14:textId="77777777" w:rsidR="002B5D23" w:rsidRDefault="002B5D23" w:rsidP="002B5D23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13. Оцінка рентгенограми колінних суглобів, різних відділів хребта</w:t>
      </w:r>
    </w:p>
    <w:p w14:paraId="4F0FB1CD" w14:textId="43BDFDBE" w:rsidR="002B5D23" w:rsidRDefault="002B5D23" w:rsidP="002B5D2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14. Інтерпретувати дослідження функції щитоподібної залози </w:t>
      </w:r>
    </w:p>
    <w:p w14:paraId="6ABC4141" w14:textId="259AAC7F" w:rsidR="00622492" w:rsidRDefault="00622492" w:rsidP="002B5D23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15. </w:t>
      </w:r>
      <w:r>
        <w:rPr>
          <w:color w:val="000000"/>
        </w:rPr>
        <w:t xml:space="preserve">Оцінка </w:t>
      </w:r>
      <w:r>
        <w:rPr>
          <w:color w:val="000000"/>
          <w:lang w:val="uk-UA"/>
        </w:rPr>
        <w:t>КТ, МРТ</w:t>
      </w:r>
    </w:p>
    <w:p w14:paraId="39D85D74" w14:textId="3C4D9EFC" w:rsidR="00622492" w:rsidRPr="00622492" w:rsidRDefault="00622492" w:rsidP="002B5D23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16. Оцінити результати тропонінового тесту, рівень Д-дімеру </w:t>
      </w:r>
    </w:p>
    <w:p w14:paraId="2B8EEA7B" w14:textId="77777777" w:rsidR="002B5D23" w:rsidRPr="00D80FEF" w:rsidRDefault="002B5D23" w:rsidP="00ED634C">
      <w:pPr>
        <w:pStyle w:val="a3"/>
        <w:tabs>
          <w:tab w:val="left" w:pos="142"/>
        </w:tabs>
        <w:spacing w:line="276" w:lineRule="auto"/>
        <w:ind w:left="0" w:firstLine="709"/>
        <w:textAlignment w:val="top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sectPr w:rsidR="002B5D23" w:rsidRPr="00D8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46"/>
    <w:rsid w:val="00090015"/>
    <w:rsid w:val="00131079"/>
    <w:rsid w:val="00200149"/>
    <w:rsid w:val="002B5D23"/>
    <w:rsid w:val="004F7A8D"/>
    <w:rsid w:val="00533AF7"/>
    <w:rsid w:val="00622492"/>
    <w:rsid w:val="008B7D79"/>
    <w:rsid w:val="009749B6"/>
    <w:rsid w:val="00A415F1"/>
    <w:rsid w:val="00C13E8D"/>
    <w:rsid w:val="00CA53FE"/>
    <w:rsid w:val="00CD0146"/>
    <w:rsid w:val="00D80FEF"/>
    <w:rsid w:val="00ED634C"/>
    <w:rsid w:val="00F33717"/>
    <w:rsid w:val="00F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9A54"/>
  <w15:chartTrackingRefBased/>
  <w15:docId w15:val="{E96E77FD-A7AD-4293-9FD7-2ECF0A57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0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B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2B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Грона</dc:creator>
  <cp:keywords/>
  <dc:description/>
  <cp:lastModifiedBy>Наталія Грона</cp:lastModifiedBy>
  <cp:revision>14</cp:revision>
  <dcterms:created xsi:type="dcterms:W3CDTF">2021-09-20T14:50:00Z</dcterms:created>
  <dcterms:modified xsi:type="dcterms:W3CDTF">2022-07-13T09:12:00Z</dcterms:modified>
</cp:coreProperties>
</file>